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Verdana" w:hAnsi="Verdana"/>
        </w:rPr>
      </w:pPr>
      <w:bookmarkStart w:id="0" w:name="_GoBack"/>
      <w:bookmarkEnd w:id="0"/>
      <w:r>
        <w:rPr>
          <w:rFonts w:ascii="Verdana" w:hAnsi="Verdana"/>
          <w:b/>
          <w:bCs/>
          <w:sz w:val="32"/>
          <w:szCs w:val="32"/>
          <w:lang w:val="mk"/>
        </w:rPr>
        <w:t>План на часот</w:t>
      </w:r>
    </w:p>
    <w:p>
      <w:pPr>
        <w:pStyle w:val="ListParagraph"/>
        <w:ind w:left="360"/>
        <w:rPr>
          <w:rFonts w:ascii="Verdana" w:hAnsi="Verdana"/>
        </w:rPr>
      </w:pPr>
    </w:p>
    <w:p>
      <w:pPr>
        <w:rPr>
          <w:rFonts w:ascii="Verdana" w:hAnsi="Verdana"/>
          <w:b/>
          <w:sz w:val="22"/>
          <w:szCs w:val="22"/>
        </w:rPr>
      </w:pPr>
      <w:r>
        <w:rPr>
          <w:rFonts w:ascii="Verdana" w:hAnsi="Verdana"/>
          <w:sz w:val="28"/>
          <w:szCs w:val="28"/>
          <w:lang w:val="mk"/>
        </w:rPr>
        <w:t>Лекции 1.2.3 (Процедурални одредби од Конвенцијата од Будимпешта)</w:t>
      </w:r>
    </w:p>
    <w:p>
      <w:pPr>
        <w:ind w:left="720"/>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4711"/>
        <w:gridCol w:w="2684"/>
      </w:tblGrid>
      <w:tr>
        <w:trPr>
          <w:trHeight w:val="872"/>
        </w:trPr>
        <w:tc>
          <w:tcPr>
            <w:tcW w:w="6326" w:type="dxa"/>
            <w:gridSpan w:val="2"/>
            <w:shd w:val="clear" w:color="auto" w:fill="DEEAF6"/>
            <w:vAlign w:val="center"/>
          </w:tcPr>
          <w:p>
            <w:pPr>
              <w:rPr>
                <w:rFonts w:ascii="Verdana" w:hAnsi="Verdana"/>
                <w:sz w:val="22"/>
                <w:szCs w:val="22"/>
              </w:rPr>
            </w:pPr>
            <w:r>
              <w:rPr>
                <w:rFonts w:ascii="Verdana" w:hAnsi="Verdana"/>
                <w:sz w:val="22"/>
                <w:szCs w:val="22"/>
                <w:lang w:val="mk"/>
              </w:rPr>
              <w:t>Лекции 1.2.3 (Процедурални правила)</w:t>
            </w:r>
          </w:p>
        </w:tc>
        <w:tc>
          <w:tcPr>
            <w:tcW w:w="2684" w:type="dxa"/>
            <w:shd w:val="clear" w:color="auto" w:fill="DEEAF6"/>
            <w:vAlign w:val="center"/>
          </w:tcPr>
          <w:p>
            <w:pPr>
              <w:rPr>
                <w:rFonts w:ascii="Verdana" w:hAnsi="Verdana"/>
                <w:sz w:val="22"/>
                <w:szCs w:val="22"/>
              </w:rPr>
            </w:pPr>
            <w:r>
              <w:rPr>
                <w:rFonts w:ascii="Verdana" w:hAnsi="Verdana"/>
                <w:sz w:val="22"/>
                <w:szCs w:val="22"/>
                <w:lang w:val="mk"/>
              </w:rPr>
              <w:t>Траење: 150 минути</w:t>
            </w:r>
          </w:p>
        </w:tc>
      </w:tr>
      <w:tr>
        <w:trPr>
          <w:trHeight w:val="1025"/>
        </w:trPr>
        <w:tc>
          <w:tcPr>
            <w:tcW w:w="9010" w:type="dxa"/>
            <w:gridSpan w:val="3"/>
            <w:vAlign w:val="center"/>
          </w:tcPr>
          <w:p>
            <w:pPr>
              <w:spacing w:before="120" w:after="120" w:line="280" w:lineRule="exact"/>
              <w:rPr>
                <w:rFonts w:ascii="Verdana" w:hAnsi="Verdana"/>
                <w:b/>
                <w:sz w:val="22"/>
                <w:szCs w:val="22"/>
              </w:rPr>
            </w:pPr>
            <w:r>
              <w:rPr>
                <w:rFonts w:ascii="Verdana" w:hAnsi="Verdana"/>
                <w:b/>
                <w:bCs/>
                <w:sz w:val="22"/>
                <w:szCs w:val="22"/>
                <w:lang w:val="mk"/>
              </w:rPr>
              <w:t>Потребни ресурси:</w:t>
            </w:r>
          </w:p>
          <w:p>
            <w:pPr>
              <w:pStyle w:val="bul1"/>
              <w:numPr>
                <w:ilvl w:val="0"/>
                <w:numId w:val="6"/>
              </w:numPr>
              <w:spacing w:before="120" w:after="120" w:line="280" w:lineRule="exact"/>
              <w:contextualSpacing/>
              <w:rPr>
                <w:szCs w:val="18"/>
              </w:rPr>
            </w:pPr>
            <w:r>
              <w:rPr>
                <w:szCs w:val="18"/>
                <w:lang w:val="mk"/>
              </w:rPr>
              <w:t>Персонален компјутер/лаптоп со инсталирани верзии на софтвер компатибилни со подготвените материјали</w:t>
            </w:r>
          </w:p>
          <w:p>
            <w:pPr>
              <w:pStyle w:val="bul1"/>
              <w:numPr>
                <w:ilvl w:val="0"/>
                <w:numId w:val="6"/>
              </w:numPr>
              <w:spacing w:before="120" w:after="120" w:line="280" w:lineRule="exact"/>
              <w:contextualSpacing/>
              <w:rPr>
                <w:szCs w:val="18"/>
              </w:rPr>
            </w:pPr>
            <w:r>
              <w:rPr>
                <w:szCs w:val="18"/>
                <w:lang w:val="mk"/>
              </w:rPr>
              <w:t>Проектор и платно за проектирање</w:t>
            </w:r>
          </w:p>
          <w:p>
            <w:pPr>
              <w:pStyle w:val="bul1"/>
              <w:numPr>
                <w:ilvl w:val="0"/>
                <w:numId w:val="6"/>
              </w:numPr>
              <w:spacing w:before="120" w:after="120" w:line="280" w:lineRule="exact"/>
              <w:contextualSpacing/>
              <w:rPr>
                <w:szCs w:val="18"/>
              </w:rPr>
            </w:pPr>
            <w:r>
              <w:rPr>
                <w:szCs w:val="18"/>
                <w:lang w:val="mk"/>
              </w:rPr>
              <w:t>Интернет</w:t>
            </w:r>
            <w:r>
              <w:rPr>
                <w:szCs w:val="18"/>
                <w:lang w:val="mk-MK"/>
              </w:rPr>
              <w:t>-</w:t>
            </w:r>
            <w:r>
              <w:rPr>
                <w:szCs w:val="18"/>
                <w:lang w:val="mk"/>
              </w:rPr>
              <w:t xml:space="preserve">пристап (ако е достапен) </w:t>
            </w:r>
          </w:p>
          <w:p>
            <w:pPr>
              <w:pStyle w:val="bul1"/>
              <w:numPr>
                <w:ilvl w:val="0"/>
                <w:numId w:val="6"/>
              </w:numPr>
              <w:spacing w:before="120" w:after="120" w:line="280" w:lineRule="exact"/>
              <w:contextualSpacing/>
              <w:rPr>
                <w:i/>
                <w:szCs w:val="18"/>
              </w:rPr>
            </w:pPr>
            <w:r>
              <w:rPr>
                <w:rFonts w:cs="Helvetica"/>
                <w:szCs w:val="18"/>
                <w:lang w:val="mk"/>
              </w:rPr>
              <w:t>Блокови и пенкала за пишување за учесниците</w:t>
            </w:r>
          </w:p>
        </w:tc>
      </w:tr>
      <w:tr>
        <w:trPr>
          <w:trHeight w:val="1241"/>
        </w:trPr>
        <w:tc>
          <w:tcPr>
            <w:tcW w:w="9010" w:type="dxa"/>
            <w:gridSpan w:val="3"/>
            <w:vAlign w:val="center"/>
          </w:tcPr>
          <w:p>
            <w:pPr>
              <w:spacing w:before="120" w:after="120" w:line="280" w:lineRule="exact"/>
              <w:rPr>
                <w:rFonts w:ascii="Verdana" w:hAnsi="Verdana"/>
                <w:b/>
                <w:sz w:val="22"/>
                <w:szCs w:val="22"/>
              </w:rPr>
            </w:pPr>
            <w:r>
              <w:rPr>
                <w:rFonts w:ascii="Verdana" w:hAnsi="Verdana"/>
                <w:b/>
                <w:bCs/>
                <w:sz w:val="22"/>
                <w:szCs w:val="22"/>
                <w:lang w:val="mk"/>
              </w:rPr>
              <w:t xml:space="preserve">Цел на сесијата: </w:t>
            </w:r>
          </w:p>
          <w:p>
            <w:pPr>
              <w:spacing w:before="120" w:after="120" w:line="280" w:lineRule="exact"/>
              <w:jc w:val="both"/>
              <w:rPr>
                <w:rFonts w:ascii="Verdana" w:hAnsi="Verdana"/>
                <w:sz w:val="18"/>
                <w:szCs w:val="18"/>
              </w:rPr>
            </w:pPr>
            <w:r>
              <w:rPr>
                <w:rFonts w:ascii="Verdana" w:hAnsi="Verdana"/>
                <w:sz w:val="18"/>
                <w:szCs w:val="18"/>
                <w:lang w:val="mk"/>
              </w:rPr>
              <w:t xml:space="preserve">Општата цел на оваа сесија е да им овозможи на учесниците сеопфатно разбирање на процедуралните овластувања кои ссе однесуваат на компјутерскиот криминал и на електронските докази, како што е предвидено со Конвенција од Будимпешта. </w:t>
            </w:r>
          </w:p>
        </w:tc>
      </w:tr>
      <w:tr>
        <w:trPr>
          <w:trHeight w:val="1722"/>
        </w:trPr>
        <w:tc>
          <w:tcPr>
            <w:tcW w:w="9010" w:type="dxa"/>
            <w:gridSpan w:val="3"/>
            <w:vAlign w:val="center"/>
          </w:tcPr>
          <w:p>
            <w:pPr>
              <w:spacing w:before="120" w:after="120" w:line="280" w:lineRule="exact"/>
              <w:contextualSpacing/>
              <w:rPr>
                <w:rFonts w:ascii="Verdana" w:hAnsi="Verdana"/>
                <w:b/>
                <w:sz w:val="22"/>
                <w:szCs w:val="22"/>
              </w:rPr>
            </w:pPr>
            <w:r>
              <w:rPr>
                <w:rFonts w:ascii="Verdana" w:hAnsi="Verdana"/>
                <w:b/>
                <w:bCs/>
                <w:sz w:val="22"/>
                <w:szCs w:val="22"/>
                <w:lang w:val="mk"/>
              </w:rPr>
              <w:t>Потесни цели:</w:t>
            </w:r>
          </w:p>
          <w:p>
            <w:pPr>
              <w:tabs>
                <w:tab w:val="left" w:pos="426"/>
                <w:tab w:val="left" w:pos="851"/>
              </w:tabs>
              <w:spacing w:before="120" w:after="120" w:line="280" w:lineRule="exact"/>
              <w:contextualSpacing/>
              <w:jc w:val="both"/>
              <w:rPr>
                <w:rFonts w:ascii="Verdana" w:eastAsia="Times New Roman" w:hAnsi="Verdana"/>
                <w:sz w:val="18"/>
                <w:szCs w:val="18"/>
              </w:rPr>
            </w:pPr>
            <w:r>
              <w:rPr>
                <w:rFonts w:ascii="Verdana" w:eastAsia="Times New Roman" w:hAnsi="Verdana"/>
                <w:sz w:val="18"/>
                <w:szCs w:val="18"/>
                <w:lang w:val="mk"/>
              </w:rPr>
              <w:t>На крајот на оваа сесија учесниците ќе бидат во можност да ги:</w:t>
            </w:r>
          </w:p>
          <w:p>
            <w:pPr>
              <w:pStyle w:val="bul1"/>
              <w:numPr>
                <w:ilvl w:val="0"/>
                <w:numId w:val="8"/>
              </w:numPr>
              <w:spacing w:before="120" w:after="120" w:line="280" w:lineRule="exact"/>
              <w:contextualSpacing/>
              <w:rPr>
                <w:szCs w:val="18"/>
              </w:rPr>
            </w:pPr>
            <w:r>
              <w:rPr>
                <w:szCs w:val="18"/>
                <w:lang w:val="mk"/>
              </w:rPr>
              <w:t xml:space="preserve">Објаснат процедуралните одредби на Конвенцијата од Будимпешта </w:t>
            </w:r>
          </w:p>
          <w:p>
            <w:pPr>
              <w:pStyle w:val="bul1"/>
              <w:numPr>
                <w:ilvl w:val="0"/>
                <w:numId w:val="8"/>
              </w:numPr>
              <w:spacing w:before="120" w:after="120" w:line="280" w:lineRule="exact"/>
              <w:contextualSpacing/>
              <w:rPr>
                <w:szCs w:val="18"/>
              </w:rPr>
            </w:pPr>
            <w:r>
              <w:rPr>
                <w:szCs w:val="18"/>
                <w:lang w:val="mk"/>
              </w:rPr>
              <w:t>Објаснат важноста на условите и на заштитните механизми и начинот на кој тие може да се утврдат</w:t>
            </w:r>
          </w:p>
        </w:tc>
      </w:tr>
      <w:tr>
        <w:trPr>
          <w:trHeight w:val="1475"/>
        </w:trPr>
        <w:tc>
          <w:tcPr>
            <w:tcW w:w="9010" w:type="dxa"/>
            <w:gridSpan w:val="3"/>
            <w:tcBorders>
              <w:bottom w:val="single" w:sz="4" w:space="0" w:color="auto"/>
            </w:tcBorders>
            <w:vAlign w:val="center"/>
          </w:tcPr>
          <w:p>
            <w:pPr>
              <w:spacing w:before="120" w:after="120" w:line="280" w:lineRule="exact"/>
              <w:rPr>
                <w:rFonts w:ascii="Verdana" w:hAnsi="Verdana"/>
                <w:b/>
                <w:sz w:val="22"/>
                <w:szCs w:val="22"/>
                <w:lang w:val="de-DE"/>
              </w:rPr>
            </w:pPr>
            <w:r>
              <w:rPr>
                <w:rFonts w:ascii="Verdana" w:hAnsi="Verdana"/>
                <w:b/>
                <w:bCs/>
                <w:sz w:val="22"/>
                <w:szCs w:val="22"/>
                <w:lang w:val="mk"/>
              </w:rPr>
              <w:t>Насоки за инструкторите</w:t>
            </w:r>
          </w:p>
          <w:p>
            <w:pPr>
              <w:spacing w:before="120" w:after="120" w:line="280" w:lineRule="exact"/>
              <w:jc w:val="both"/>
              <w:rPr>
                <w:rFonts w:ascii="Verdana" w:hAnsi="Verdana"/>
                <w:sz w:val="18"/>
                <w:szCs w:val="18"/>
                <w:lang w:val="mk"/>
              </w:rPr>
            </w:pPr>
            <w:r>
              <w:rPr>
                <w:rFonts w:ascii="Verdana" w:hAnsi="Verdana"/>
                <w:sz w:val="18"/>
                <w:szCs w:val="18"/>
                <w:lang w:val="mk"/>
              </w:rPr>
              <w:t xml:space="preserve">Оваа сесија е подготвена да им овозможи на учесниците сеопфатно разбирање на процедуралните овластувања кои се однесуваат на компјутерскиот криминал и на електронските докази. Сесијата е поделена на три дела, покрај воведот и заклучокот.  Првиот дел од сесијата се бави со процедуралните овластувања според Конвенцијата од Будимпешта за компјутерски криминал. Овие слајдови даваат текст на секое процедурално овластување во Поглавјето 2, Дел 2 од Конвенцијата од Будимпешта за компјутерски криминал, како и детални слајдови кои го објаснуваат секој елемент во секој член. Вториот дел од сесијата ги опфаќа условите и заштитните механизми поврзани со процедуралните овластувања. </w:t>
            </w:r>
          </w:p>
        </w:tc>
      </w:tr>
      <w:tr>
        <w:trPr>
          <w:trHeight w:val="701"/>
        </w:trPr>
        <w:tc>
          <w:tcPr>
            <w:tcW w:w="9010" w:type="dxa"/>
            <w:gridSpan w:val="3"/>
            <w:tcBorders>
              <w:bottom w:val="single" w:sz="4" w:space="0" w:color="auto"/>
            </w:tcBorders>
            <w:shd w:val="clear" w:color="auto" w:fill="D9E2F3"/>
            <w:vAlign w:val="center"/>
          </w:tcPr>
          <w:p>
            <w:pPr>
              <w:rPr>
                <w:rFonts w:ascii="Verdana" w:hAnsi="Verdana"/>
                <w:b/>
                <w:sz w:val="28"/>
                <w:szCs w:val="28"/>
              </w:rPr>
            </w:pPr>
            <w:r>
              <w:rPr>
                <w:rFonts w:ascii="Verdana" w:hAnsi="Verdana"/>
                <w:b/>
                <w:bCs/>
                <w:sz w:val="28"/>
                <w:szCs w:val="28"/>
                <w:lang w:val="mk"/>
              </w:rPr>
              <w:t>Содржина на часот</w:t>
            </w:r>
          </w:p>
        </w:tc>
      </w:tr>
      <w:tr>
        <w:trPr>
          <w:trHeight w:val="629"/>
        </w:trPr>
        <w:tc>
          <w:tcPr>
            <w:tcW w:w="1615" w:type="dxa"/>
            <w:shd w:val="clear" w:color="auto" w:fill="D9E2F3"/>
            <w:vAlign w:val="center"/>
          </w:tcPr>
          <w:p>
            <w:pPr>
              <w:jc w:val="center"/>
              <w:rPr>
                <w:rFonts w:ascii="Verdana" w:hAnsi="Verdana"/>
                <w:b/>
                <w:sz w:val="22"/>
                <w:szCs w:val="22"/>
              </w:rPr>
            </w:pPr>
            <w:r>
              <w:rPr>
                <w:rFonts w:ascii="Verdana" w:hAnsi="Verdana"/>
                <w:b/>
                <w:bCs/>
                <w:sz w:val="22"/>
                <w:szCs w:val="22"/>
                <w:lang w:val="mk"/>
              </w:rPr>
              <w:t>Броеви на слајдови</w:t>
            </w:r>
          </w:p>
        </w:tc>
        <w:tc>
          <w:tcPr>
            <w:tcW w:w="7395" w:type="dxa"/>
            <w:gridSpan w:val="2"/>
            <w:shd w:val="clear" w:color="auto" w:fill="D9E2F3"/>
            <w:vAlign w:val="center"/>
          </w:tcPr>
          <w:p>
            <w:pPr>
              <w:rPr>
                <w:rFonts w:ascii="Verdana" w:hAnsi="Verdana"/>
                <w:b/>
                <w:sz w:val="22"/>
                <w:szCs w:val="22"/>
              </w:rPr>
            </w:pPr>
            <w:r>
              <w:rPr>
                <w:rFonts w:ascii="Verdana" w:hAnsi="Verdana"/>
                <w:b/>
                <w:bCs/>
                <w:sz w:val="22"/>
                <w:szCs w:val="22"/>
                <w:lang w:val="mk"/>
              </w:rPr>
              <w:t>Содржина</w:t>
            </w:r>
          </w:p>
        </w:tc>
      </w:tr>
      <w:tr>
        <w:tc>
          <w:tcPr>
            <w:tcW w:w="1615" w:type="dxa"/>
            <w:vAlign w:val="center"/>
          </w:tcPr>
          <w:p>
            <w:pPr>
              <w:spacing w:before="120" w:after="120" w:line="280" w:lineRule="exact"/>
              <w:jc w:val="center"/>
              <w:rPr>
                <w:rFonts w:ascii="Verdana" w:hAnsi="Verdana"/>
                <w:sz w:val="18"/>
                <w:szCs w:val="18"/>
              </w:rPr>
            </w:pPr>
            <w:r>
              <w:rPr>
                <w:rFonts w:ascii="Verdana" w:hAnsi="Verdana"/>
                <w:sz w:val="18"/>
                <w:szCs w:val="18"/>
                <w:lang w:val="mk"/>
              </w:rPr>
              <w:t>1 до 4</w:t>
            </w:r>
          </w:p>
        </w:tc>
        <w:tc>
          <w:tcPr>
            <w:tcW w:w="7395" w:type="dxa"/>
            <w:gridSpan w:val="2"/>
            <w:vAlign w:val="center"/>
          </w:tcPr>
          <w:p>
            <w:pPr>
              <w:tabs>
                <w:tab w:val="left" w:pos="426"/>
                <w:tab w:val="left" w:pos="851"/>
              </w:tabs>
              <w:spacing w:before="120" w:after="120" w:line="280" w:lineRule="exact"/>
              <w:jc w:val="both"/>
              <w:rPr>
                <w:rFonts w:ascii="Verdana" w:hAnsi="Verdana"/>
                <w:sz w:val="18"/>
                <w:szCs w:val="18"/>
                <w:lang w:val="mk"/>
              </w:rPr>
            </w:pPr>
            <w:r>
              <w:rPr>
                <w:rFonts w:ascii="Verdana" w:eastAsia="Times New Roman" w:hAnsi="Verdana"/>
                <w:sz w:val="18"/>
                <w:szCs w:val="18"/>
                <w:lang w:val="mk"/>
              </w:rPr>
              <w:t xml:space="preserve">Првите слајдови ја прикажуваат структурата и целите на оваа сесија. На учесниците ќе им биде дадена можност да постават прелиминарни прашања што можеби ги имаат во врска со структурата и целите на сесијата. </w:t>
            </w:r>
          </w:p>
        </w:tc>
      </w:tr>
      <w:tr>
        <w:trPr>
          <w:trHeight w:val="3158"/>
        </w:trPr>
        <w:tc>
          <w:tcPr>
            <w:tcW w:w="1615" w:type="dxa"/>
            <w:vAlign w:val="center"/>
          </w:tcPr>
          <w:p>
            <w:pPr>
              <w:jc w:val="center"/>
              <w:rPr>
                <w:rFonts w:ascii="Verdana" w:hAnsi="Verdana"/>
                <w:sz w:val="18"/>
                <w:szCs w:val="18"/>
              </w:rPr>
            </w:pPr>
            <w:r>
              <w:rPr>
                <w:rFonts w:ascii="Verdana" w:hAnsi="Verdana"/>
                <w:sz w:val="18"/>
                <w:szCs w:val="18"/>
                <w:lang w:val="mk"/>
              </w:rPr>
              <w:lastRenderedPageBreak/>
              <w:t>5 до 124</w:t>
            </w:r>
          </w:p>
        </w:tc>
        <w:tc>
          <w:tcPr>
            <w:tcW w:w="7395" w:type="dxa"/>
            <w:gridSpan w:val="2"/>
            <w:vAlign w:val="center"/>
          </w:tcPr>
          <w:p>
            <w:pPr>
              <w:pStyle w:val="Subtitle"/>
              <w:spacing w:beforeLines="20" w:before="48" w:afterLines="120" w:after="288" w:line="280" w:lineRule="exact"/>
              <w:rPr>
                <w:rFonts w:ascii="Verdana" w:eastAsia="Times New Roman" w:hAnsi="Verdana"/>
                <w:color w:val="auto"/>
                <w:szCs w:val="18"/>
                <w:lang w:val="mk"/>
              </w:rPr>
            </w:pPr>
            <w:r>
              <w:rPr>
                <w:rFonts w:ascii="Verdana" w:eastAsia="Times New Roman" w:hAnsi="Verdana"/>
                <w:iCs w:val="0"/>
                <w:color w:val="auto"/>
                <w:szCs w:val="18"/>
                <w:lang w:val="mk"/>
              </w:rPr>
              <w:t>Овие слајдови ги опфаќаат процедуралните законски одредби од Поглавјето II,, Дел 2 од Конвенцијата од Будимпешта. Инструкторот мора прво да ги запознае учесниците со основните дефиниции како што се „компјутерски податоци“, „содржински податоци “, „податоци за сообраќајот“ и „провајдер на услуги“ како се користат во Конвенцијата од Будимпешта. По ова, од инструкторот се бара да го покрие текстот со детални објаснувања на следните процедурални овластувања според Конвенцијата од Будимпешта:</w:t>
            </w:r>
          </w:p>
          <w:p>
            <w:pPr>
              <w:spacing w:beforeLines="20" w:before="48" w:after="20" w:line="280" w:lineRule="exact"/>
              <w:rPr>
                <w:rFonts w:ascii="Verdana" w:hAnsi="Verdana"/>
                <w:sz w:val="18"/>
                <w:szCs w:val="18"/>
                <w:lang w:val="mk"/>
              </w:rPr>
            </w:pPr>
            <w:r>
              <w:rPr>
                <w:rFonts w:ascii="Verdana" w:hAnsi="Verdana"/>
                <w:sz w:val="18"/>
                <w:szCs w:val="18"/>
                <w:lang w:val="mk"/>
              </w:rPr>
              <w:t>а. Експедитивно зачувување на складираните компјутерски податоци (член 16)</w:t>
            </w:r>
          </w:p>
          <w:p>
            <w:pPr>
              <w:spacing w:beforeLines="20" w:before="48" w:after="20" w:line="280" w:lineRule="exact"/>
              <w:ind w:left="252" w:hanging="252"/>
              <w:rPr>
                <w:rFonts w:ascii="Verdana" w:hAnsi="Verdana"/>
                <w:sz w:val="18"/>
                <w:szCs w:val="18"/>
                <w:lang w:val="mk"/>
              </w:rPr>
            </w:pPr>
            <w:r>
              <w:rPr>
                <w:rFonts w:ascii="Verdana" w:hAnsi="Verdana"/>
                <w:sz w:val="18"/>
                <w:szCs w:val="18"/>
                <w:lang w:val="mk"/>
              </w:rPr>
              <w:t>б. Експедитивно зачувување и делумно обелоденување на складираните податоци за пренос (член 17)</w:t>
            </w:r>
          </w:p>
          <w:p>
            <w:pPr>
              <w:spacing w:beforeLines="20" w:before="48" w:after="20" w:line="280" w:lineRule="exact"/>
              <w:rPr>
                <w:rFonts w:ascii="Verdana" w:hAnsi="Verdana"/>
                <w:sz w:val="18"/>
                <w:szCs w:val="18"/>
                <w:lang w:val="mk"/>
              </w:rPr>
            </w:pPr>
            <w:r>
              <w:rPr>
                <w:rFonts w:ascii="Verdana" w:hAnsi="Verdana"/>
                <w:sz w:val="18"/>
                <w:szCs w:val="18"/>
                <w:lang w:val="mk"/>
              </w:rPr>
              <w:t>в. Налог за доставување податоци (член 18)</w:t>
            </w:r>
          </w:p>
          <w:p>
            <w:pPr>
              <w:spacing w:beforeLines="20" w:before="48" w:after="20" w:line="280" w:lineRule="exact"/>
              <w:rPr>
                <w:rFonts w:ascii="Verdana" w:hAnsi="Verdana"/>
                <w:sz w:val="18"/>
                <w:szCs w:val="18"/>
                <w:lang w:val="mk"/>
              </w:rPr>
            </w:pPr>
            <w:r>
              <w:rPr>
                <w:rFonts w:ascii="Verdana" w:hAnsi="Verdana"/>
                <w:sz w:val="18"/>
                <w:szCs w:val="18"/>
                <w:lang w:val="mk"/>
              </w:rPr>
              <w:t>г. Пребарување и заплена на складираните (член 19);</w:t>
            </w:r>
          </w:p>
          <w:p>
            <w:pPr>
              <w:spacing w:beforeLines="20" w:before="48" w:after="20" w:line="280" w:lineRule="exact"/>
              <w:rPr>
                <w:rFonts w:ascii="Verdana" w:hAnsi="Verdana"/>
                <w:sz w:val="18"/>
                <w:szCs w:val="18"/>
                <w:lang w:val="mk"/>
              </w:rPr>
            </w:pPr>
            <w:r>
              <w:rPr>
                <w:rFonts w:ascii="Verdana" w:hAnsi="Verdana"/>
                <w:sz w:val="18"/>
                <w:szCs w:val="18"/>
                <w:lang w:val="mk"/>
              </w:rPr>
              <w:t>д. Собирање податоци од сообраќајот во реално време (член 20)</w:t>
            </w:r>
          </w:p>
          <w:p>
            <w:pPr>
              <w:spacing w:beforeLines="20" w:before="48" w:after="24" w:line="280" w:lineRule="exact"/>
              <w:rPr>
                <w:rFonts w:ascii="Verdana" w:hAnsi="Verdana"/>
                <w:sz w:val="18"/>
                <w:szCs w:val="18"/>
                <w:lang w:val="mk"/>
              </w:rPr>
            </w:pPr>
            <w:r>
              <w:rPr>
                <w:rFonts w:ascii="Verdana" w:hAnsi="Verdana"/>
                <w:sz w:val="18"/>
                <w:szCs w:val="18"/>
                <w:lang w:val="mk"/>
              </w:rPr>
              <w:t>ѓ. Пресретнување содржински податоци (член 22)</w:t>
            </w:r>
          </w:p>
          <w:p>
            <w:pPr>
              <w:spacing w:beforeLines="20" w:before="48" w:after="24" w:line="280" w:lineRule="exact"/>
              <w:rPr>
                <w:lang w:val="mk"/>
              </w:rPr>
            </w:pPr>
          </w:p>
          <w:p>
            <w:pPr>
              <w:spacing w:beforeLines="20" w:before="48" w:afterLines="120" w:after="288" w:line="280" w:lineRule="exact"/>
              <w:jc w:val="both"/>
              <w:rPr>
                <w:rFonts w:ascii="Verdana" w:hAnsi="Verdana"/>
                <w:sz w:val="18"/>
                <w:szCs w:val="18"/>
                <w:lang w:val="mk"/>
              </w:rPr>
            </w:pPr>
            <w:r>
              <w:rPr>
                <w:rFonts w:ascii="Verdana" w:hAnsi="Verdana"/>
                <w:sz w:val="18"/>
                <w:szCs w:val="18"/>
                <w:lang w:val="mk"/>
              </w:rPr>
              <w:t xml:space="preserve">На учесниците мора детално да им се објаснат важните елементи на овие членови на процедуралното право на Конвенцијата од Будимпешта. Важните елементи од секој член се поедино обележани во текстот со црвена боја и по секој поединечно потцртан елемент следат слајдови со објаснувања за претходниот елемент.  Инструкторот може да избере да не ги користи овие детални не-суштински слајдови; но важно е секое процедурално овластување да биде објаснето со доволно детали. </w:t>
            </w:r>
          </w:p>
        </w:tc>
      </w:tr>
      <w:tr>
        <w:trPr>
          <w:trHeight w:val="3158"/>
        </w:trPr>
        <w:tc>
          <w:tcPr>
            <w:tcW w:w="1615" w:type="dxa"/>
            <w:vAlign w:val="center"/>
          </w:tcPr>
          <w:p>
            <w:pPr>
              <w:jc w:val="center"/>
              <w:rPr>
                <w:rFonts w:ascii="Verdana" w:hAnsi="Verdana"/>
                <w:sz w:val="18"/>
                <w:szCs w:val="18"/>
              </w:rPr>
            </w:pPr>
            <w:r>
              <w:rPr>
                <w:rFonts w:ascii="Verdana" w:hAnsi="Verdana"/>
                <w:sz w:val="18"/>
                <w:szCs w:val="18"/>
                <w:lang w:val="mk"/>
              </w:rPr>
              <w:t>125 до 139</w:t>
            </w:r>
          </w:p>
        </w:tc>
        <w:tc>
          <w:tcPr>
            <w:tcW w:w="7395" w:type="dxa"/>
            <w:gridSpan w:val="2"/>
            <w:vAlign w:val="center"/>
          </w:tcPr>
          <w:p>
            <w:pPr>
              <w:spacing w:before="120" w:after="120" w:line="280" w:lineRule="exact"/>
              <w:jc w:val="both"/>
              <w:rPr>
                <w:rFonts w:ascii="Verdana" w:hAnsi="Verdana"/>
                <w:sz w:val="18"/>
                <w:szCs w:val="18"/>
                <w:lang w:val="mk"/>
              </w:rPr>
            </w:pPr>
            <w:r>
              <w:rPr>
                <w:rFonts w:ascii="Verdana" w:hAnsi="Verdana"/>
                <w:sz w:val="18"/>
                <w:szCs w:val="18"/>
                <w:lang w:val="mk"/>
              </w:rPr>
              <w:t xml:space="preserve">Овој дел ги разгледува условите и заштотните механизми уредени со Конвенцијата од Будимпешта, и ги објаснува елементите од членот 15. Овој дел исто така ги опфаќа и правата кои се гарантирани со Европската конвенција за човекови права и со Меѓународниот пакт за граѓански и политички права. </w:t>
            </w:r>
          </w:p>
          <w:p>
            <w:pPr>
              <w:spacing w:before="120" w:after="120" w:line="280" w:lineRule="exact"/>
              <w:jc w:val="both"/>
              <w:rPr>
                <w:rFonts w:ascii="Verdana" w:hAnsi="Verdana"/>
                <w:sz w:val="18"/>
                <w:szCs w:val="18"/>
                <w:lang w:val="mk"/>
              </w:rPr>
            </w:pPr>
            <w:r>
              <w:rPr>
                <w:rFonts w:ascii="Verdana" w:hAnsi="Verdana"/>
                <w:sz w:val="18"/>
                <w:szCs w:val="18"/>
                <w:lang w:val="mk"/>
              </w:rPr>
              <w:t>Важно е овие слајдови да бидат предадени на начин кој ги истакнува практичните размислувања што учесниците треба да ги земат предвид кога ги остваруваат процедуралните овластувања или кога се занимаваат со остварувањето на процедуралните овластувања. На пример, учесниците треба да станат свесни за различните права кои можат да бидат погодени во постапките за компјутерскиот криминал, и како таквите права можат да бидат заштитени.</w:t>
            </w:r>
          </w:p>
        </w:tc>
      </w:tr>
      <w:tr>
        <w:trPr>
          <w:trHeight w:val="1340"/>
        </w:trPr>
        <w:tc>
          <w:tcPr>
            <w:tcW w:w="1615" w:type="dxa"/>
            <w:vAlign w:val="center"/>
          </w:tcPr>
          <w:p>
            <w:pPr>
              <w:jc w:val="center"/>
              <w:rPr>
                <w:rFonts w:ascii="Verdana" w:hAnsi="Verdana"/>
                <w:sz w:val="18"/>
                <w:szCs w:val="18"/>
              </w:rPr>
            </w:pPr>
            <w:r>
              <w:rPr>
                <w:rFonts w:ascii="Verdana" w:hAnsi="Verdana"/>
                <w:sz w:val="18"/>
                <w:szCs w:val="18"/>
                <w:lang w:val="mk"/>
              </w:rPr>
              <w:t>140 до 142</w:t>
            </w:r>
          </w:p>
        </w:tc>
        <w:tc>
          <w:tcPr>
            <w:tcW w:w="7395" w:type="dxa"/>
            <w:gridSpan w:val="2"/>
            <w:vAlign w:val="center"/>
          </w:tcPr>
          <w:p>
            <w:pPr>
              <w:spacing w:before="120" w:after="120" w:line="280" w:lineRule="exact"/>
              <w:jc w:val="both"/>
              <w:rPr>
                <w:rFonts w:ascii="Verdana" w:hAnsi="Verdana"/>
                <w:i/>
                <w:sz w:val="18"/>
                <w:szCs w:val="18"/>
              </w:rPr>
            </w:pPr>
            <w:r>
              <w:rPr>
                <w:rFonts w:ascii="Verdana" w:eastAsia="Times New Roman" w:hAnsi="Verdana"/>
                <w:sz w:val="18"/>
                <w:szCs w:val="18"/>
                <w:lang w:val="mk"/>
              </w:rPr>
              <w:t xml:space="preserve">Инструкторот треба да даде рекапитулар на целите на сесијата заедно со учесниците и да им даде можност да постават прашања кои се однесуваат на материјалот опфатен во овој модул. </w:t>
            </w:r>
          </w:p>
        </w:tc>
      </w:tr>
      <w:tr>
        <w:trPr>
          <w:trHeight w:val="1226"/>
        </w:trPr>
        <w:tc>
          <w:tcPr>
            <w:tcW w:w="9010" w:type="dxa"/>
            <w:gridSpan w:val="3"/>
            <w:vAlign w:val="center"/>
          </w:tcPr>
          <w:p>
            <w:pPr>
              <w:spacing w:before="120" w:after="120" w:line="280" w:lineRule="exact"/>
              <w:rPr>
                <w:rFonts w:ascii="Verdana" w:hAnsi="Verdana"/>
                <w:b/>
                <w:sz w:val="22"/>
                <w:szCs w:val="22"/>
              </w:rPr>
            </w:pPr>
            <w:r>
              <w:rPr>
                <w:rFonts w:ascii="Verdana" w:hAnsi="Verdana"/>
                <w:b/>
                <w:bCs/>
                <w:sz w:val="22"/>
                <w:szCs w:val="22"/>
                <w:lang w:val="mk"/>
              </w:rPr>
              <w:t>Практични вежби</w:t>
            </w:r>
          </w:p>
          <w:p>
            <w:pPr>
              <w:spacing w:before="120" w:after="120" w:line="280" w:lineRule="exact"/>
              <w:rPr>
                <w:rFonts w:ascii="Verdana" w:hAnsi="Verdana"/>
                <w:sz w:val="18"/>
                <w:szCs w:val="18"/>
              </w:rPr>
            </w:pPr>
            <w:r>
              <w:rPr>
                <w:rFonts w:ascii="Verdana" w:hAnsi="Verdana"/>
                <w:sz w:val="18"/>
                <w:szCs w:val="18"/>
                <w:lang w:val="mk"/>
              </w:rPr>
              <w:t>За оваа лекција не се предвидени практични вежби.</w:t>
            </w:r>
          </w:p>
        </w:tc>
      </w:tr>
      <w:tr>
        <w:tc>
          <w:tcPr>
            <w:tcW w:w="9010" w:type="dxa"/>
            <w:gridSpan w:val="3"/>
            <w:vAlign w:val="center"/>
          </w:tcPr>
          <w:p>
            <w:pPr>
              <w:spacing w:before="120" w:after="120" w:line="280" w:lineRule="exact"/>
              <w:rPr>
                <w:rFonts w:ascii="Verdana" w:hAnsi="Verdana"/>
                <w:b/>
                <w:sz w:val="22"/>
                <w:szCs w:val="22"/>
              </w:rPr>
            </w:pPr>
            <w:r>
              <w:rPr>
                <w:rFonts w:ascii="Verdana" w:hAnsi="Verdana"/>
                <w:b/>
                <w:bCs/>
                <w:sz w:val="22"/>
                <w:szCs w:val="22"/>
                <w:lang w:val="mk"/>
              </w:rPr>
              <w:t>Оцена/Проверка на знаење</w:t>
            </w:r>
          </w:p>
          <w:p>
            <w:pPr>
              <w:spacing w:before="120" w:after="120" w:line="280" w:lineRule="exact"/>
              <w:jc w:val="both"/>
              <w:rPr>
                <w:rFonts w:ascii="Verdana" w:hAnsi="Verdana"/>
                <w:sz w:val="18"/>
                <w:szCs w:val="18"/>
                <w:lang w:val="mk"/>
              </w:rPr>
            </w:pPr>
            <w:r>
              <w:rPr>
                <w:rFonts w:ascii="Verdana" w:hAnsi="Verdana"/>
                <w:sz w:val="18"/>
                <w:szCs w:val="18"/>
                <w:lang w:val="mk"/>
              </w:rPr>
              <w:lastRenderedPageBreak/>
              <w:t>Никакво формално оценување не е подготвено за оваа сесија. Инструкторот се поттикнува да го провери знаењето и разбирањето со поставување релевантни прашања низ целата сесија.</w:t>
            </w:r>
          </w:p>
        </w:tc>
      </w:tr>
    </w:tbl>
    <w:p>
      <w:pPr>
        <w:rPr>
          <w:rFonts w:ascii="Verdana" w:hAnsi="Verdana"/>
          <w:lang w:val="mk"/>
        </w:rPr>
      </w:pPr>
    </w:p>
    <w:sectPr>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charset w:val="80"/>
    <w:family w:val="swiss"/>
    <w:pitch w:val="variable"/>
    <w:sig w:usb0="E00002FF" w:usb1="2AC7FDFF" w:usb2="00000016"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A4A9C"/>
    <w:multiLevelType w:val="hybridMultilevel"/>
    <w:tmpl w:val="FD70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paragraph" w:customStyle="1" w:styleId="bul1">
    <w:name w:val="bul1"/>
    <w:basedOn w:val="Normal"/>
    <w:link w:val="bul1Char"/>
    <w:qFormat/>
    <w:pPr>
      <w:numPr>
        <w:numId w:val="7"/>
      </w:numPr>
      <w:spacing w:line="280" w:lineRule="atLeast"/>
      <w:ind w:left="851" w:hanging="851"/>
      <w:jc w:val="both"/>
    </w:pPr>
    <w:rPr>
      <w:rFonts w:ascii="Verdana" w:hAnsi="Verdana"/>
      <w:sz w:val="18"/>
      <w:szCs w:val="20"/>
      <w:lang w:val="de-DE" w:eastAsia="de-DE"/>
    </w:rPr>
  </w:style>
  <w:style w:type="character" w:customStyle="1" w:styleId="bul1Char">
    <w:name w:val="bul1 Char"/>
    <w:link w:val="bul1"/>
    <w:locked/>
    <w:rPr>
      <w:rFonts w:ascii="Verdana" w:eastAsia="Calibri" w:hAnsi="Verdana" w:cs="Times New Roman"/>
      <w:sz w:val="18"/>
      <w:lang w:val="de-DE" w:eastAsia="de-DE"/>
    </w:rPr>
  </w:style>
  <w:style w:type="character" w:styleId="Hyperlink">
    <w:name w:val="Hyperlink"/>
    <w:uiPriority w:val="99"/>
    <w:unhideWhenUsed/>
    <w:rPr>
      <w:color w:val="0563C1"/>
      <w:u w:val="single"/>
    </w:rPr>
  </w:style>
  <w:style w:type="paragraph" w:styleId="Subtitle">
    <w:name w:val="Subtitle"/>
    <w:basedOn w:val="Normal"/>
    <w:next w:val="Normal"/>
    <w:link w:val="SubtitleChar"/>
    <w:uiPriority w:val="11"/>
    <w:qFormat/>
    <w:pPr>
      <w:numPr>
        <w:ilvl w:val="1"/>
      </w:numPr>
      <w:spacing w:before="20" w:after="120" w:line="280" w:lineRule="atLeast"/>
      <w:jc w:val="both"/>
    </w:pPr>
    <w:rPr>
      <w:rFonts w:ascii="Verdana Bold" w:eastAsia="Yu Gothic Light" w:hAnsi="Verdana Bold"/>
      <w:iCs/>
      <w:color w:val="000000"/>
      <w:sz w:val="18"/>
    </w:rPr>
  </w:style>
  <w:style w:type="character" w:customStyle="1" w:styleId="SubtitleChar">
    <w:name w:val="Subtitle Char"/>
    <w:link w:val="Subtitle"/>
    <w:uiPriority w:val="11"/>
    <w:rPr>
      <w:rFonts w:ascii="Verdana Bold" w:eastAsia="Yu Gothic Light" w:hAnsi="Verdana Bold" w:cs="Times New Roman"/>
      <w:iCs/>
      <w:color w:val="000000"/>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paragraph" w:customStyle="1" w:styleId="bul1">
    <w:name w:val="bul1"/>
    <w:basedOn w:val="Normal"/>
    <w:link w:val="bul1Char"/>
    <w:qFormat/>
    <w:pPr>
      <w:numPr>
        <w:numId w:val="7"/>
      </w:numPr>
      <w:spacing w:line="280" w:lineRule="atLeast"/>
      <w:ind w:left="851" w:hanging="851"/>
      <w:jc w:val="both"/>
    </w:pPr>
    <w:rPr>
      <w:rFonts w:ascii="Verdana" w:hAnsi="Verdana"/>
      <w:sz w:val="18"/>
      <w:szCs w:val="20"/>
      <w:lang w:val="de-DE" w:eastAsia="de-DE"/>
    </w:rPr>
  </w:style>
  <w:style w:type="character" w:customStyle="1" w:styleId="bul1Char">
    <w:name w:val="bul1 Char"/>
    <w:link w:val="bul1"/>
    <w:locked/>
    <w:rPr>
      <w:rFonts w:ascii="Verdana" w:eastAsia="Calibri" w:hAnsi="Verdana" w:cs="Times New Roman"/>
      <w:sz w:val="18"/>
      <w:lang w:val="de-DE" w:eastAsia="de-DE"/>
    </w:rPr>
  </w:style>
  <w:style w:type="character" w:styleId="Hyperlink">
    <w:name w:val="Hyperlink"/>
    <w:uiPriority w:val="99"/>
    <w:unhideWhenUsed/>
    <w:rPr>
      <w:color w:val="0563C1"/>
      <w:u w:val="single"/>
    </w:rPr>
  </w:style>
  <w:style w:type="paragraph" w:styleId="Subtitle">
    <w:name w:val="Subtitle"/>
    <w:basedOn w:val="Normal"/>
    <w:next w:val="Normal"/>
    <w:link w:val="SubtitleChar"/>
    <w:uiPriority w:val="11"/>
    <w:qFormat/>
    <w:pPr>
      <w:numPr>
        <w:ilvl w:val="1"/>
      </w:numPr>
      <w:spacing w:before="20" w:after="120" w:line="280" w:lineRule="atLeast"/>
      <w:jc w:val="both"/>
    </w:pPr>
    <w:rPr>
      <w:rFonts w:ascii="Verdana Bold" w:eastAsia="Yu Gothic Light" w:hAnsi="Verdana Bold"/>
      <w:iCs/>
      <w:color w:val="000000"/>
      <w:sz w:val="18"/>
    </w:rPr>
  </w:style>
  <w:style w:type="character" w:customStyle="1" w:styleId="SubtitleChar">
    <w:name w:val="Subtitle Char"/>
    <w:link w:val="Subtitle"/>
    <w:uiPriority w:val="11"/>
    <w:rPr>
      <w:rFonts w:ascii="Verdana Bold" w:eastAsia="Yu Gothic Light" w:hAnsi="Verdana Bold" w:cs="Times New Roman"/>
      <w:iCs/>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Alkemist</cp:lastModifiedBy>
  <cp:revision>2</cp:revision>
  <dcterms:created xsi:type="dcterms:W3CDTF">2017-11-09T17:33:00Z</dcterms:created>
  <dcterms:modified xsi:type="dcterms:W3CDTF">2017-11-09T17:33:00Z</dcterms:modified>
</cp:coreProperties>
</file>